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87" w:rsidRPr="00CA5B87" w:rsidRDefault="00CA5B87" w:rsidP="00CA5B87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</w:pPr>
      <w:bookmarkStart w:id="0" w:name="_GoBack"/>
      <w:r w:rsidRPr="00CA5B87">
        <w:rPr>
          <w:rFonts w:ascii="Times New Roman" w:eastAsia="Times New Roman" w:hAnsi="Times New Roman" w:cs="Times New Roman"/>
          <w:b/>
          <w:i/>
          <w:color w:val="1E1E1E"/>
          <w:sz w:val="28"/>
          <w:szCs w:val="28"/>
          <w:lang w:eastAsia="ru-RU"/>
        </w:rPr>
        <w:t>Порядок оказания государственных услуг</w:t>
      </w:r>
    </w:p>
    <w:bookmarkEnd w:id="0"/>
    <w:p w:rsidR="00CA5B87" w:rsidRPr="00CA5B87" w:rsidRDefault="00CA5B87" w:rsidP="00CA5B87">
      <w:pPr>
        <w:shd w:val="clear" w:color="auto" w:fill="FFFFFF"/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организации"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управлениями образования городов республиканского значения и столицы, отделами образования районов, городов областного значения (далее –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Для получения государственной услуги по постановке на очередь родитель, или законный представитель ребенка (далее –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направляет заявление по форме согласно </w:t>
      </w:r>
      <w:hyperlink r:id="rId5" w:anchor="z364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Правилам, а также документы, указанные в пункте 8 </w:t>
      </w:r>
      <w:hyperlink r:id="rId6" w:anchor="z384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2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через веб-портал "электронного правительства" (далее – портал) или объекты информатизации.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обращении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являющимся нерезидентами согласно </w:t>
      </w:r>
      <w:hyperlink r:id="rId7" w:anchor="z190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статье 190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Основные требования к оказанию государственной услуги по постановке на очередь согласно </w:t>
      </w:r>
      <w:hyperlink r:id="rId8" w:anchor="z152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подпунктам 3-1)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 4) </w:t>
      </w:r>
      <w:hyperlink r:id="rId9" w:anchor="z29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14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"О государственных услугах" приведены в </w:t>
      </w:r>
      <w:hyperlink r:id="rId10" w:anchor="z384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приложении 2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"Перечень основных требований к оказанию государственной услуги "Постановка на очередь детей дошкольного возраста (до 6 лет) для направления в дошкольные организации" (далее – Перечень требований) к Правилам.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представлении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готовит мотивированный отказ в приеме документов.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выявлении оснований для отказа в оказании государственной услуги согласно пункту 9 Перечня требований, в указанный срок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направляет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"личный кабинет" уведомление об отказе в оказании государственной услуги согласно </w:t>
      </w:r>
      <w:hyperlink r:id="rId11" w:anchor="z385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Правилам.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6. Заявления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и, подтверждение документов на получение вне очереди места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обрабатываются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1 (одного) рабочего дня.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Заявление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и, подтверждение документов на получение места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первоочередном порядке путем интеграции с государственными информационными системами, обрабатываются автоматически на момент их подачи.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Заявление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поданных на общих основаниях, обрабатываются автоматически на момент подачи.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АРМ подтверждает полноту и соответствие представленных документов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После получения подтверждения в АРМ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Единая база обрабатывает заявление по постановке на очередь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и уведомляет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оказании государственной услуги по постановке на очередь с указанием даты и времени, номера очередности согласно </w:t>
      </w:r>
      <w:hyperlink r:id="rId12" w:anchor="z389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4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Государственная услуга по постановке на очередь оказывается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способом, в том числе без заявления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инициативе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посредством информационных систем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веб-портале "электронного правительства" www.egov.kz и включать в себя: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отправку автоматических уведомлений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запросом на оказание государственной услуги по постановке на очередь;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получение согласия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оказание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проактивной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услуги, а также иных необходимых сведений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том числе ограниченного доступа согласно </w:t>
      </w:r>
      <w:hyperlink r:id="rId13" w:anchor="z392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к Правилам, посредством абонентского устройства сотовой связи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По выбору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государственная услуга по постановке на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очередь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</w:t>
      </w: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оператору информационно-коммуникационной инфраструктуры "электронное правительство" 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в Единый контакт-центр.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 </w:t>
      </w:r>
      <w:hyperlink r:id="rId14" w:anchor="z11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5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"О государственных услугах".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Единая база автоматически формирует очередь в порядке подачи заявлений постановки на очередь для зачисления в ДО (до 4-х ДО из Реестра ДО) относительно друг друга с учетом даты и времени (с точностью до миллисекунд), года рождения ребенка, языка обучения.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Заявления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которым места в ДО предоставляются вне очереди, располагаются перед заявлениями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которым места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предоставляются в первоочередном порядке.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Заявления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которым предоставляются места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первоочередном порядке, распределяются в соотношении "один к трем" к заявлениям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поданным на общих основаниях.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 </w:t>
      </w:r>
      <w:hyperlink r:id="rId15" w:anchor="z24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Типовым правилам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деятельности специальных организаций образования, утвержденных приказом Министра образования и науки Республики Казахстан от 31 августа 2022 года № 385 "Об утверждении Типовых правил деятельности организаций дошкольного, среднего, технического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профессионального,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дополнительного образования соответствующих типов и видов" (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зарегистрированный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29329) формируется по году рождения детей для каждого года рождения отдельно согласно рекомендации психолого-медико-педагогической консультации.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комиссии.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Для подачи заявления постановки на очередь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учитывается возраст ребенка, не превышающий 6-ти лет до конца текущего календарного года (кроме детей с ограниченными возможностями согласно соответствующих рекомендаций психолого-медико-педагогической консультации).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Ребенок при достижении 6-ти лет исключается из очереди (кроме детей с ограниченными возможностями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соответствующих рекомендаций психолого-медико-педагогической консультации).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Для выбора другой ДО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расторгает электронный договор и подает заявление на постановку в очередь для получения направления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Очередь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обновляется при: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поступлении заявлений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которым места в ДО предоставляется вне очереди согласно </w:t>
      </w:r>
      <w:hyperlink r:id="rId16" w:anchor="z708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3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52 Закона Республики Казахстан "О воинской службе и статусе военнослужащих", </w:t>
      </w:r>
      <w:hyperlink r:id="rId17" w:anchor="z1000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8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78 Закона Республики Казахстан "О специальных государственных органах", </w:t>
      </w:r>
      <w:hyperlink r:id="rId18" w:anchor="z1252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5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64 Закона Республики Казахстан "О правоохранительной службе", </w:t>
      </w:r>
      <w:hyperlink r:id="rId19" w:anchor="z118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4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16 Закона Республики Казахстан "О государственной фельдъегерской связи", </w:t>
      </w:r>
      <w:hyperlink r:id="rId20" w:anchor="z1252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5</w:t>
        </w:r>
        <w:proofErr w:type="gramEnd"/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64 Закона Республики Казахстан "О правоохранительной службе";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2) поступлении заявлений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которым места в ДО предоставляются в первоочередном порядке согласно </w:t>
      </w:r>
      <w:hyperlink r:id="rId21" w:anchor="z3591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подпункту 3-1)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1 статьи 270 Кодекса Республики Казахстан "О здоровье народа и системе здравоохранения", </w:t>
      </w:r>
      <w:hyperlink r:id="rId22" w:anchor="z104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пункту 3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детей из многодетных семей; детей с ограниченными возможностями; детей из семей, имеющих ребенка-инвалида для первоочередного получения места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изменении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льготного статуса заявления;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исключении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заявления из очереди в результате снятия заявления;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изменении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выдаче направления;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помещении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заявления в архив;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отсутствии заинтересованности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получении места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проверяет и подтверждает достоверность документов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дважды - при регистрации заявления на постановку на очередь и после получения направления на зачисление в ДО, отправляет </w:t>
      </w: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сводные запросы в уполномоченный орган. При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подтверждении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выдает уведомление с отказом в предоставлении государственной услуги.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подает заявление на постановку на очередь с выбором от 1 до 4-х ДО с указанием языка обучения;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при постановке на очередь указывает возраст ребенка, планируемого для более позднего зачисления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ежегодно подтверждает заинтересованность в очереди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снимает заявление из очереди;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в период нахождения в очереди меняет или добавляет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просматривает номер очередности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получает уведомление о свободном месте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выражает согласие на получение или отказ от свободного места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получает направление на зачисление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подает заявление на прием документов и зачисление ребенка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подписывает электронный договор.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Один раз в год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направляется уведомление о подтверждении заинтересованности в очереди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ДО.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Единая база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направляет уведомление для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состоящих в очереди в ДО, для подтверждения заинтересованности по истечении 11 месяцев со дня подачи заявления.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неполучении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уведомление направляется повторно через месяц. При отсутствии ответа на повторное уведомление или отрицательного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очередь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направляется в архив.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Единая база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направляет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состоящему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первым в очереди, уведомление о свободном месте в ДО.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течение 2-х календарных дней подтверждает получение направления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или отказывается от свободного места в ДО. При отказе от свободного места очередь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перемещается в архив. При отсутствии </w:t>
      </w: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очередь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повторное уведомление очередь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восстанавливается по дате и времени постановки. При отсутствии ответа на повторное уведомление или отрицательного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очередь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перемещается в архив.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Единая база, функционирующая круглосуточно и осуществляющая непрерывный процесс распределения свободных мест среди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по мере появления новых свободных мест: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регистрирует (или отказывает в регистрации) заявление на постановку на очередь, помещает заявление в архив, рассматривает отказы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зачислении по выданным направлениям;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в конце учебного года принимает информацию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свободных местах с учетом выпуска детей из ДО, перевода детей из одной возрастной группы в другую и комплектования возрастных групп;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при появлении свободных мест в ДО, в том числе временного пребывания Единая база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проактивным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направляет уведомление для первых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стоящих в очереди, при неполучении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уведомление направляется повторно в течение вторых суток; при отсутствии ответа на повторное уведомление или отрицательного ответа от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уведомление направляется следующему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  <w:proofErr w:type="gramEnd"/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исключает из очереди заявление при достижении ребенком возраста 6 (шести) лет (кроме детей с ограниченными возможностями, имеющих заключение психолого-медико-педагогической консультации, а также детей, которым до конца текущего года еще не исполнилось полных 6 лет) и помещает его в архив по причине достижения максимально допустимого возраста;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направляет уведомление о проведении проверки достоверности документов (в произвольной форме)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получения места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вне очереди и по первоочередному порядку при постановке на очередь и зачислении в ДО;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пропускает очередь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указавщего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возраст ребенка планируемого для более позднего зачисления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ДО: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в конце учебного года формируют электронный бюллетень свободных мест, в том числе временного пребывания, с учетом выпуска воспитанников, прошедших программу предшкольной подготовки, перевода детей из одной возрастной группы в другую и комплектования возрастных групп;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сохраняют место за временно выбывшим воспитанником в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санаторный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ясли-сад.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Жалоба на решение, действия (бездействие)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по постановке на очередь подается на имя руководителя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CA5B87" w:rsidRPr="00CA5B87" w:rsidRDefault="00CA5B87" w:rsidP="00CA5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Жалоба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соответствии с </w:t>
      </w:r>
      <w:hyperlink r:id="rId23" w:anchor="z68" w:history="1">
        <w:r w:rsidRPr="00CA5B8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При отправке жалобы через портал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услугодателем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Информацию о порядке обжалования через портал можно получить посредством Единого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контакт-центра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 оказания государственных услуг.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контролю за</w:t>
      </w:r>
      <w:proofErr w:type="gram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A5B87" w:rsidRPr="00CA5B87" w:rsidRDefault="00CA5B87" w:rsidP="00CA5B87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A5B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AA52DD" w:rsidRPr="00CA5B87" w:rsidRDefault="00AA52DD" w:rsidP="00CA5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2DD" w:rsidRPr="00C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A"/>
    <w:rsid w:val="0077171A"/>
    <w:rsid w:val="00AA52DD"/>
    <w:rsid w:val="00C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5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5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5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hyperlink" Target="https://adilet.zan.kz/rus/docs/V2000020883" TargetMode="External"/><Relationship Id="rId18" Type="http://schemas.openxmlformats.org/officeDocument/2006/relationships/hyperlink" Target="https://adilet.zan.kz/rus/docs/Z11000003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K2000000360" TargetMode="External"/><Relationship Id="rId7" Type="http://schemas.openxmlformats.org/officeDocument/2006/relationships/hyperlink" Target="https://adilet.zan.kz/rus/docs/K1700000120" TargetMode="External"/><Relationship Id="rId12" Type="http://schemas.openxmlformats.org/officeDocument/2006/relationships/hyperlink" Target="https://adilet.zan.kz/rus/docs/V2000020883" TargetMode="External"/><Relationship Id="rId17" Type="http://schemas.openxmlformats.org/officeDocument/2006/relationships/hyperlink" Target="https://adilet.zan.kz/rus/docs/Z120000055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Z1200000561" TargetMode="External"/><Relationship Id="rId20" Type="http://schemas.openxmlformats.org/officeDocument/2006/relationships/hyperlink" Target="https://adilet.zan.kz/rus/docs/Z1100000380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883" TargetMode="External"/><Relationship Id="rId11" Type="http://schemas.openxmlformats.org/officeDocument/2006/relationships/hyperlink" Target="https://adilet.zan.kz/rus/docs/V200002088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adilet.zan.kz/rus/docs/V2000020883" TargetMode="External"/><Relationship Id="rId15" Type="http://schemas.openxmlformats.org/officeDocument/2006/relationships/hyperlink" Target="https://adilet.zan.kz/rus/docs/V2200029329" TargetMode="External"/><Relationship Id="rId23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V2000020883" TargetMode="External"/><Relationship Id="rId19" Type="http://schemas.openxmlformats.org/officeDocument/2006/relationships/hyperlink" Target="https://adilet.zan.kz/rus/docs/Z2100000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hyperlink" Target="https://adilet.zan.kz/rus/docs/Z1300000088" TargetMode="External"/><Relationship Id="rId22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2381</Words>
  <Characters>13574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2024-10-26T18:38:00Z</dcterms:created>
  <dcterms:modified xsi:type="dcterms:W3CDTF">2024-10-26T18:39:00Z</dcterms:modified>
</cp:coreProperties>
</file>