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A1" w:rsidRPr="006B1AA1" w:rsidRDefault="006B1AA1" w:rsidP="006B1A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«МЕКТЕБКЕ КЕЛЕДІ»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ба?», -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толқумен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Балабақшаның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міндеттерінің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бүлдіршіндері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портфель,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танытады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зерігі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көңілдері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жоғалтады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мұғалімді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тыңдап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тыңдауға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аяқтауға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салуы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кенеттен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кеңі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ікте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бағдарлауға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аударғанда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ерік-жігер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бубен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кейіпкерін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қонаққа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үрдісі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балалардан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жаттықтыру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жаттық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тыру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өзгерді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?»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бар. Бала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көзі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ұмады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жойылады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басқасына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ауыстырылады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өзгергенін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киген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?»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жұмып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құрбылары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достарының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киінетіні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сұралады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Терезеде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бар?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досыңызды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ұстаған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кездескен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?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Айырмашылықтарды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тап»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көргенде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айырмашылықты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Пантомималық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lastRenderedPageBreak/>
        <w:t>Балалар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көңіл-күйдегі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ұлдың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кемпірдің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солдаттың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Сезімдердің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рефлексиясы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жұппен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ігіп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сөйлейтін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«рефлектор»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келіседі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сөйлейтін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құлағына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сыбырлайды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Сөйлеуші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​​оны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қайталайды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ал «рефлектор»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досының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тіркесін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сезімде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анықтауы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Қараңғыда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Ойыншы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1-2 минут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індегі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ойыншының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байланады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иесінің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қырылған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ұпайларды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санау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Қараңғыда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Ойыншы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текшелерден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бағанды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құлағанша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тұрғызады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ойыншы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 xml:space="preserve">«Су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Шеңбердің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байланған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еңкейі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ұстасып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«Су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сен неге су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отырсың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дегенше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үндемей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отырасың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тоқтайды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, ал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созып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киімін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сезіп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болжайды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тапса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?»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репродукциясы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В. Васнецов «Алёнушка», «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Богатырьлар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», «Иван Царевич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сұ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қасқырда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пейзаждар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натюрморттарды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көзінше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ілінеді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бейнеленгенін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екі-үш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Сөзді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әрекетін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нәрселер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аталмайынша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жалғасады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lastRenderedPageBreak/>
        <w:t>Нұсқа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жойылады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жадында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бейнеленгенін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қайтадан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6B1AA1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қамқоршы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еріктіден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күш-жігерді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ғдарлау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реакциясы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екеуінің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іктіреді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шаршатпайды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ерік-жігерді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мәжбүрлемейді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әрекетін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тізбегін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 Пост-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тиімдісі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шаршамайды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қызығады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аласың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қолыңнан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>.</w:t>
      </w:r>
    </w:p>
    <w:p w:rsidR="00970D62" w:rsidRPr="006B1AA1" w:rsidRDefault="006B1AA1" w:rsidP="006B1AA1">
      <w:pPr>
        <w:rPr>
          <w:rFonts w:ascii="Times New Roman" w:hAnsi="Times New Roman" w:cs="Times New Roman"/>
          <w:sz w:val="28"/>
          <w:szCs w:val="28"/>
        </w:rPr>
      </w:pPr>
      <w:r w:rsidRPr="006B1AA1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психикасы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қасиеттердің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қасиеттердің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тоғысуы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B1A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тәрбиелейміз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етеміз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мінезді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қалыптастырамыз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бақ</w:t>
      </w:r>
      <w:proofErr w:type="gramStart"/>
      <w:r w:rsidRPr="006B1AA1">
        <w:rPr>
          <w:rFonts w:ascii="Times New Roman" w:hAnsi="Times New Roman" w:cs="Times New Roman"/>
          <w:sz w:val="28"/>
          <w:szCs w:val="28"/>
        </w:rPr>
        <w:t>ылау</w:t>
      </w:r>
      <w:proofErr w:type="gramEnd"/>
      <w:r w:rsidRPr="006B1A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үйретеміз</w:t>
      </w:r>
      <w:proofErr w:type="spellEnd"/>
      <w:r w:rsidRPr="006B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AA1">
        <w:rPr>
          <w:rFonts w:ascii="Times New Roman" w:hAnsi="Times New Roman" w:cs="Times New Roman"/>
          <w:sz w:val="28"/>
          <w:szCs w:val="28"/>
        </w:rPr>
        <w:t>пон</w:t>
      </w:r>
      <w:proofErr w:type="spellEnd"/>
    </w:p>
    <w:sectPr w:rsidR="00970D62" w:rsidRPr="006B1AA1" w:rsidSect="006B1AA1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4B"/>
    <w:rsid w:val="004A3C4B"/>
    <w:rsid w:val="006B1AA1"/>
    <w:rsid w:val="00970D62"/>
    <w:rsid w:val="009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2022-04-24T15:04:00Z</dcterms:created>
  <dcterms:modified xsi:type="dcterms:W3CDTF">2022-04-24T15:06:00Z</dcterms:modified>
</cp:coreProperties>
</file>